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auto" w:line="312" w:before="120" w:after="0"/>
        <w:rPr>
          <w:rFonts w:ascii="Verdana" w:hAnsi="Verdana"/>
          <w:b w:val="false"/>
          <w:bCs w:val="false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Formularz zgłaszania uwag do projektu Ustawy o asystencji osobistej osób z niepełnosprawnościami </w:t>
      </w:r>
      <w:r>
        <w:rPr>
          <w:rFonts w:ascii="Verdana" w:hAnsi="Verdana"/>
        </w:rPr>
        <w:t>(nr projektu: UD 168)</w:t>
      </w:r>
    </w:p>
    <w:p>
      <w:pPr>
        <w:pStyle w:val="Title"/>
        <w:spacing w:lineRule="auto" w:line="312" w:before="120" w:after="0"/>
        <w:rPr>
          <w:rFonts w:ascii="Verdana" w:hAnsi="Verdana"/>
          <w:b w:val="false"/>
          <w:bCs w:val="false"/>
          <w:sz w:val="22"/>
          <w:szCs w:val="22"/>
        </w:rPr>
      </w:pPr>
      <w:r>
        <w:rPr>
          <w:rFonts w:ascii="Verdana" w:hAnsi="Verdana"/>
          <w:b w:val="false"/>
          <w:bCs w:val="false"/>
          <w:sz w:val="22"/>
          <w:szCs w:val="22"/>
        </w:rPr>
        <w:t>wersja Word</w:t>
      </w:r>
    </w:p>
    <w:p>
      <w:pPr>
        <w:pStyle w:val="Normal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</w:r>
    </w:p>
    <w:p>
      <w:pPr>
        <w:pStyle w:val="Normal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Nazwa podmiotu (lub Imię i nazwisko) zgłaszającego uwagi: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</w:t>
      </w:r>
    </w:p>
    <w:p>
      <w:pPr>
        <w:pStyle w:val="Normal"/>
        <w:rPr>
          <w:rFonts w:ascii="Verdana" w:hAnsi="Verdana" w:cs="Calibri" w:cstheme="minorHAnsi"/>
          <w:b/>
          <w:bCs/>
        </w:rPr>
      </w:pPr>
      <w:r>
        <w:rPr>
          <w:rFonts w:cs="Calibri" w:ascii="Verdana" w:hAnsi="Verdana" w:cstheme="minorHAnsi"/>
          <w:b/>
          <w:bCs/>
        </w:rPr>
        <w:t>Zgłaszane uwagi i propozycje zmian do projektów Ustawy, Uzasadnienia lub Oceny Skutków Regulacji (OSR):</w:t>
      </w:r>
    </w:p>
    <w:p>
      <w:pPr>
        <w:pStyle w:val="Normal"/>
        <w:rPr>
          <w:rFonts w:ascii="Verdana" w:hAnsi="Verdana" w:cs="Calibri" w:cstheme="minorHAnsi"/>
          <w:sz w:val="20"/>
          <w:szCs w:val="20"/>
        </w:rPr>
      </w:pPr>
      <w:r>
        <w:rPr>
          <w:rFonts w:cs="Calibri" w:ascii="Verdana" w:hAnsi="Verdana" w:cstheme="minorHAnsi"/>
          <w:b/>
          <w:bCs/>
          <w:sz w:val="20"/>
          <w:szCs w:val="20"/>
        </w:rPr>
        <w:t>Uwaga:</w:t>
      </w:r>
      <w:r>
        <w:rPr>
          <w:rFonts w:cs="Calibri" w:ascii="Verdana" w:hAnsi="Verdana" w:cstheme="minorHAnsi"/>
          <w:sz w:val="20"/>
          <w:szCs w:val="20"/>
        </w:rPr>
        <w:t xml:space="preserve"> kolumny „Artykuł”, „Ustęp” oraz „Litera” są wypełniane jedynie w stosunku do uwag do treści Ustawy</w:t>
      </w:r>
    </w:p>
    <w:tbl>
      <w:tblPr>
        <w:tblStyle w:val="Tabela-Siatka"/>
        <w:tblW w:w="161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87"/>
        <w:gridCol w:w="1466"/>
        <w:gridCol w:w="864"/>
        <w:gridCol w:w="737"/>
        <w:gridCol w:w="731"/>
        <w:gridCol w:w="729"/>
        <w:gridCol w:w="595"/>
        <w:gridCol w:w="3348"/>
        <w:gridCol w:w="3685"/>
        <w:gridCol w:w="3391"/>
      </w:tblGrid>
      <w:tr>
        <w:trPr>
          <w:tblHeader w:val="true"/>
          <w:trHeight w:val="386" w:hRule="atLeast"/>
        </w:trPr>
        <w:tc>
          <w:tcPr>
            <w:tcW w:w="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E2EF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 w:cs="Calibri" w:cstheme="minorHAnsi"/>
              </w:rPr>
            </w:pPr>
            <w:r>
              <w:rPr>
                <w:rFonts w:eastAsia="Calibri" w:cs="Calibri" w:ascii="Verdana" w:hAnsi="Verdana" w:cstheme="minorHAnsi"/>
                <w:kern w:val="0"/>
                <w:sz w:val="22"/>
                <w:szCs w:val="22"/>
                <w:lang w:val="pl-PL" w:eastAsia="en-US" w:bidi="ar-SA"/>
              </w:rPr>
              <w:t>Lp.</w:t>
            </w:r>
          </w:p>
        </w:tc>
        <w:tc>
          <w:tcPr>
            <w:tcW w:w="1466" w:type="dxa"/>
            <w:tcBorders>
              <w:top w:val="single" w:sz="12" w:space="0" w:color="000000"/>
              <w:bottom w:val="single" w:sz="12" w:space="0" w:color="000000"/>
            </w:tcBorders>
            <w:shd w:color="auto" w:fill="E2EF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0"/>
                <w:szCs w:val="20"/>
                <w:lang w:val="pl-PL" w:eastAsia="en-US" w:bidi="ar-SA"/>
              </w:rPr>
              <w:t>Dokument</w:t>
            </w:r>
          </w:p>
        </w:tc>
        <w:tc>
          <w:tcPr>
            <w:tcW w:w="864" w:type="dxa"/>
            <w:tcBorders>
              <w:top w:val="single" w:sz="12" w:space="0" w:color="000000"/>
              <w:bottom w:val="single" w:sz="12" w:space="0" w:color="000000"/>
            </w:tcBorders>
            <w:shd w:color="auto" w:fill="E2EF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18"/>
                <w:szCs w:val="18"/>
                <w:lang w:val="pl-PL" w:eastAsia="en-US" w:bidi="ar-SA"/>
              </w:rPr>
              <w:t>Artykuł</w:t>
            </w:r>
          </w:p>
        </w:tc>
        <w:tc>
          <w:tcPr>
            <w:tcW w:w="737" w:type="dxa"/>
            <w:tcBorders>
              <w:top w:val="single" w:sz="12" w:space="0" w:color="000000"/>
              <w:bottom w:val="single" w:sz="12" w:space="0" w:color="000000"/>
            </w:tcBorders>
            <w:shd w:color="auto" w:fill="E2EF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18"/>
                <w:szCs w:val="18"/>
                <w:lang w:val="pl-PL" w:eastAsia="en-US" w:bidi="ar-SA"/>
              </w:rPr>
              <w:t>Ustęp</w:t>
            </w:r>
          </w:p>
        </w:tc>
        <w:tc>
          <w:tcPr>
            <w:tcW w:w="731" w:type="dxa"/>
            <w:tcBorders>
              <w:top w:val="single" w:sz="12" w:space="0" w:color="000000"/>
              <w:bottom w:val="single" w:sz="12" w:space="0" w:color="000000"/>
            </w:tcBorders>
            <w:shd w:color="auto" w:fill="E2EF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18"/>
                <w:szCs w:val="18"/>
                <w:lang w:val="pl-PL" w:eastAsia="en-US" w:bidi="ar-SA"/>
              </w:rPr>
              <w:t>Punkt</w:t>
            </w:r>
          </w:p>
        </w:tc>
        <w:tc>
          <w:tcPr>
            <w:tcW w:w="729" w:type="dxa"/>
            <w:tcBorders>
              <w:top w:val="single" w:sz="12" w:space="0" w:color="000000"/>
              <w:bottom w:val="single" w:sz="12" w:space="0" w:color="000000"/>
            </w:tcBorders>
            <w:shd w:color="auto" w:fill="E2EF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18"/>
                <w:szCs w:val="18"/>
                <w:lang w:val="pl-PL" w:eastAsia="en-US" w:bidi="ar-SA"/>
              </w:rPr>
              <w:t>Litera</w:t>
            </w:r>
          </w:p>
        </w:tc>
        <w:tc>
          <w:tcPr>
            <w:tcW w:w="595" w:type="dxa"/>
            <w:tcBorders>
              <w:top w:val="single" w:sz="12" w:space="0" w:color="000000"/>
              <w:bottom w:val="single" w:sz="12" w:space="0" w:color="000000"/>
            </w:tcBorders>
            <w:shd w:color="auto" w:fill="E2EF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18"/>
                <w:szCs w:val="18"/>
                <w:lang w:val="pl-PL" w:eastAsia="en-US" w:bidi="ar-SA"/>
              </w:rPr>
              <w:t>Strona</w:t>
            </w:r>
          </w:p>
        </w:tc>
        <w:tc>
          <w:tcPr>
            <w:tcW w:w="3348" w:type="dxa"/>
            <w:tcBorders>
              <w:top w:val="single" w:sz="12" w:space="0" w:color="000000"/>
              <w:bottom w:val="single" w:sz="12" w:space="0" w:color="000000"/>
            </w:tcBorders>
            <w:shd w:color="auto" w:fill="E2EF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 w:cs="Calibri" w:cstheme="minorHAnsi"/>
                <w:b/>
                <w:bCs/>
              </w:rPr>
            </w:pPr>
            <w:r>
              <w:rPr>
                <w:rFonts w:eastAsia="Calibri" w:cs="Calibri" w:ascii="Verdana" w:hAnsi="Verdana"/>
                <w:b/>
                <w:bCs/>
                <w:color w:val="000000"/>
                <w:kern w:val="0"/>
                <w:sz w:val="22"/>
                <w:szCs w:val="22"/>
                <w:lang w:val="pl-PL" w:eastAsia="en-US" w:bidi="ar-SA"/>
              </w:rPr>
              <w:t>Aktualna treść</w:t>
            </w:r>
          </w:p>
        </w:tc>
        <w:tc>
          <w:tcPr>
            <w:tcW w:w="3685" w:type="dxa"/>
            <w:tcBorders>
              <w:top w:val="single" w:sz="12" w:space="0" w:color="000000"/>
              <w:bottom w:val="single" w:sz="12" w:space="0" w:color="000000"/>
            </w:tcBorders>
            <w:shd w:color="auto" w:fill="E2EF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 w:cs="Calibri" w:cstheme="minorHAnsi"/>
                <w:b/>
                <w:bCs/>
              </w:rPr>
            </w:pPr>
            <w:r>
              <w:rPr>
                <w:rFonts w:eastAsia="Calibri" w:cs="Calibri" w:ascii="Verdana" w:hAnsi="Verdana"/>
                <w:b/>
                <w:bCs/>
                <w:color w:val="000000"/>
                <w:kern w:val="0"/>
                <w:sz w:val="22"/>
                <w:szCs w:val="22"/>
                <w:lang w:val="pl-PL" w:eastAsia="en-US" w:bidi="ar-SA"/>
              </w:rPr>
              <w:t>Proponowana treść</w:t>
            </w:r>
          </w:p>
        </w:tc>
        <w:tc>
          <w:tcPr>
            <w:tcW w:w="339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2EF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 w:cs="Calibri" w:cstheme="minorHAnsi"/>
                <w:b/>
                <w:bCs/>
              </w:rPr>
            </w:pPr>
            <w:r>
              <w:rPr>
                <w:rFonts w:eastAsia="Calibri" w:cs="Calibri" w:ascii="Verdana" w:hAnsi="Verdana"/>
                <w:b/>
                <w:bCs/>
                <w:color w:val="000000"/>
                <w:kern w:val="0"/>
                <w:sz w:val="22"/>
                <w:szCs w:val="22"/>
                <w:lang w:val="pl-PL" w:eastAsia="en-US" w:bidi="ar-SA"/>
              </w:rPr>
              <w:t>Uzasadnienie dla zmiany</w:t>
            </w:r>
          </w:p>
        </w:tc>
      </w:tr>
      <w:tr>
        <w:trPr/>
        <w:tc>
          <w:tcPr>
            <w:tcW w:w="587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Verdana" w:hAnsi="Verdana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 w:ascii="Verdana" w:hAnsi="Verdana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466" w:type="dxa"/>
            <w:tcBorders>
              <w:top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Ustawa o asystencji osobistej osób z niepełnosprawnościami (nr projektu: UD 168)</w:t>
            </w:r>
          </w:p>
        </w:tc>
        <w:tc>
          <w:tcPr>
            <w:tcW w:w="864" w:type="dxa"/>
            <w:tcBorders>
              <w:top w:val="single" w:sz="12" w:space="0" w:color="000000"/>
            </w:tcBorders>
          </w:tcPr>
          <w:p>
            <w:pPr>
              <w:pStyle w:val="ARTartustawynprozporzdzenia"/>
              <w:keepNext w:val="true"/>
              <w:spacing w:before="120" w:after="0"/>
              <w:rPr/>
            </w:pPr>
            <w:r>
              <w:rPr>
                <w:rStyle w:val="Ppogrubienie"/>
                <w:rFonts w:eastAsia="Calibri" w:cs="Calibri" w:ascii="Verdana" w:hAnsi="Verdana" w:cstheme="minorHAnsi"/>
                <w:kern w:val="0"/>
                <w:sz w:val="18"/>
                <w:szCs w:val="18"/>
                <w:lang w:val="pl-PL" w:eastAsia="en-US" w:bidi="ar-SA"/>
              </w:rPr>
              <w:t>Art. 4.</w:t>
            </w:r>
          </w:p>
        </w:tc>
        <w:tc>
          <w:tcPr>
            <w:tcW w:w="737" w:type="dxa"/>
            <w:tcBorders>
              <w:top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1.</w:t>
            </w:r>
          </w:p>
        </w:tc>
        <w:tc>
          <w:tcPr>
            <w:tcW w:w="731" w:type="dxa"/>
            <w:tcBorders>
              <w:top w:val="single" w:sz="12" w:space="0" w:color="000000"/>
            </w:tcBorders>
          </w:tcPr>
          <w:p>
            <w:pPr>
              <w:pStyle w:val="PKTpunkt"/>
              <w:keepNext w:val="true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1)</w:t>
            </w:r>
          </w:p>
        </w:tc>
        <w:tc>
          <w:tcPr>
            <w:tcW w:w="729" w:type="dxa"/>
            <w:tcBorders>
              <w:top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595" w:type="dxa"/>
            <w:tcBorders>
              <w:top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48" w:type="dxa"/>
            <w:tcBorders>
              <w:top w:val="single" w:sz="12" w:space="0" w:color="000000"/>
            </w:tcBorders>
          </w:tcPr>
          <w:p>
            <w:pPr>
              <w:pStyle w:val="Normal"/>
              <w:keepNext w:val="true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O prawo do asystencji osobistej mogą ubiegać się osoby, o których mowa w art. 3:</w:t>
            </w:r>
          </w:p>
          <w:p>
            <w:pPr>
              <w:pStyle w:val="PKTpunkt"/>
              <w:keepNext w:val="true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1)</w:t>
              <w:tab/>
              <w:t>które ukończyły 18 rok życia do ukończenia 65. roku życia, i które w zakresie poziomu potrzeby wsparcia, o którym mowa w art. 4b ustawy z dnia 27 sierpnia 1997 r. o rehabilitacji zawodowej i społecznej oraz zatrudnianiu osób niepełnosprawnych uzyskały co najmniej 80 punktów;</w:t>
            </w:r>
          </w:p>
        </w:tc>
        <w:tc>
          <w:tcPr>
            <w:tcW w:w="3685" w:type="dxa"/>
            <w:tcBorders>
              <w:top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 xml:space="preserve">Rekomenduję obniżenie liczby </w:t>
            </w: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wymaganych</w:t>
            </w: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 xml:space="preserve"> punktów.</w:t>
            </w:r>
          </w:p>
        </w:tc>
        <w:tc>
          <w:tcPr>
            <w:tcW w:w="339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 xml:space="preserve">Wysokie kryterium uzyskania 80 punktów w skali oceny potrzeb wsparcia wykluczy wiele osób z niepełnosprawnościami. </w:t>
            </w:r>
          </w:p>
        </w:tc>
      </w:tr>
      <w:tr>
        <w:trPr/>
        <w:tc>
          <w:tcPr>
            <w:tcW w:w="587" w:type="dxa"/>
            <w:tcBorders>
              <w:left w:val="single" w:sz="12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Verdana" w:hAnsi="Verdana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 w:ascii="Verdana" w:hAnsi="Verdana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Ustawa o asystencji osobistej osób z niepełnosprawnościami (nr projektu: UD 168)</w:t>
            </w:r>
          </w:p>
        </w:tc>
        <w:tc>
          <w:tcPr>
            <w:tcW w:w="864" w:type="dxa"/>
            <w:tcBorders/>
          </w:tcPr>
          <w:p>
            <w:pPr>
              <w:pStyle w:val="ARTartustawynprozporzdzenia"/>
              <w:keepNext w:val="true"/>
              <w:spacing w:before="120" w:after="0"/>
              <w:rPr/>
            </w:pPr>
            <w:r>
              <w:rPr>
                <w:rStyle w:val="Ppogrubienie"/>
                <w:rFonts w:eastAsia="Calibri" w:cs="Calibri" w:ascii="Verdana" w:hAnsi="Verdana" w:cstheme="minorHAnsi"/>
                <w:kern w:val="0"/>
                <w:sz w:val="18"/>
                <w:szCs w:val="18"/>
                <w:lang w:val="pl-PL" w:eastAsia="en-US" w:bidi="ar-SA"/>
              </w:rPr>
              <w:t>Art. 6.</w:t>
            </w:r>
          </w:p>
        </w:tc>
        <w:tc>
          <w:tcPr>
            <w:tcW w:w="737" w:type="dxa"/>
            <w:tcBorders/>
          </w:tcPr>
          <w:p>
            <w:pPr>
              <w:pStyle w:val="ARTartustawynprozporzdzenia"/>
              <w:keepNext w:val="true"/>
              <w:spacing w:before="120" w:after="0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1. i 2.</w:t>
            </w:r>
          </w:p>
        </w:tc>
        <w:tc>
          <w:tcPr>
            <w:tcW w:w="73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2)</w:t>
            </w:r>
          </w:p>
        </w:tc>
        <w:tc>
          <w:tcPr>
            <w:tcW w:w="72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5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48" w:type="dxa"/>
            <w:tcBorders/>
          </w:tcPr>
          <w:p>
            <w:pPr>
              <w:pStyle w:val="Normal"/>
              <w:keepNext w:val="true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W przypadku osób, o których mowa w art. 4 ust. 1 pkt 1:</w:t>
            </w:r>
          </w:p>
          <w:p>
            <w:pPr>
              <w:pStyle w:val="PKTpunkt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1)</w:t>
              <w:tab/>
              <w:t>minimalna miesięczna liczba godzin asystencji osobistej wynosi 30;</w:t>
            </w:r>
          </w:p>
          <w:p>
            <w:pPr>
              <w:pStyle w:val="PKTpunkt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2)</w:t>
              <w:tab/>
              <w:t>maksymalna miesięczna liczba godzin asystencji osobistej wynosi 240.</w:t>
            </w:r>
          </w:p>
          <w:p>
            <w:pPr>
              <w:pStyle w:val="USTustnpkodeksu"/>
              <w:keepNext w:val="true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2. W przypadku osób, o których mowa w  art. 4 ust. 1 pkt 2:</w:t>
            </w:r>
          </w:p>
          <w:p>
            <w:pPr>
              <w:pStyle w:val="PKTpunkt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1)</w:t>
              <w:tab/>
              <w:t>minimalna miesięczna liczba godzin asystencji osobistej wynosi 30;</w:t>
            </w:r>
          </w:p>
          <w:p>
            <w:pPr>
              <w:pStyle w:val="PKTpunkt"/>
              <w:keepNext w:val="true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2)</w:t>
              <w:tab/>
              <w:t>maksymalna miesięczna liczba godzin asystencji osobistej wynosi 80.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Rekomenduję zniesienie limitu lub w inny sposób uwzględnienie wsparcia dla osób potrzebujących stałej opieki.</w:t>
            </w:r>
          </w:p>
        </w:tc>
        <w:tc>
          <w:tcPr>
            <w:tcW w:w="3391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bookmarkStart w:id="0" w:name="docs-internal-guid-213fd5ac-7fff-c96f-ef"/>
            <w:bookmarkEnd w:id="0"/>
            <w:r>
              <w:rPr>
                <w:rFonts w:eastAsia="Calibri" w:cs="Calibri" w:cstheme="minorHAnsi" w:ascii="Times New Roman;serif" w:hAnsi="Times New Roman;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0"/>
                <w:szCs w:val="18"/>
                <w:u w:val="none"/>
                <w:effect w:val="none"/>
                <w:shd w:fill="auto" w:val="clear"/>
                <w:lang w:val="pl-PL" w:eastAsia="en-US" w:bidi="ar-SA"/>
              </w:rPr>
              <w:t>Limit przysługujących godzin pracy asystentów jest zbyt niski (do 240 godzin miesięcznie) dla osób, które wymagają stałej, nawet całodobowej opieki lub intensywnego, specjalistycznego wsparcia. Należy zadbać o osoby, dla których stała opieka asystentów to kwestia życia lub śmierci.</w:t>
            </w:r>
          </w:p>
        </w:tc>
      </w:tr>
      <w:tr>
        <w:trPr/>
        <w:tc>
          <w:tcPr>
            <w:tcW w:w="587" w:type="dxa"/>
            <w:tcBorders>
              <w:left w:val="single" w:sz="12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Verdana" w:hAnsi="Verdana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 w:ascii="Verdana" w:hAnsi="Verdana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Ustawa o asystencji osobistej osób z niepełnosprawnościami (nr projektu: UD 168)</w:t>
            </w:r>
          </w:p>
        </w:tc>
        <w:tc>
          <w:tcPr>
            <w:tcW w:w="864" w:type="dxa"/>
            <w:tcBorders/>
          </w:tcPr>
          <w:p>
            <w:pPr>
              <w:pStyle w:val="ARTartustawynprozporzdzenia"/>
              <w:keepNext w:val="true"/>
              <w:spacing w:before="120" w:after="0"/>
              <w:rPr/>
            </w:pPr>
            <w:r>
              <w:rPr>
                <w:rStyle w:val="Ppogrubienie"/>
                <w:rFonts w:eastAsia="Calibri" w:cs="Calibri" w:ascii="Verdana" w:hAnsi="Verdana" w:cstheme="minorHAnsi"/>
                <w:kern w:val="0"/>
                <w:sz w:val="18"/>
                <w:szCs w:val="18"/>
                <w:lang w:val="pl-PL" w:eastAsia="en-US" w:bidi="ar-SA"/>
              </w:rPr>
              <w:t>Art. 63.</w:t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1" w:type="dxa"/>
            <w:tcBorders/>
          </w:tcPr>
          <w:p>
            <w:pPr>
              <w:pStyle w:val="PKTpunkt"/>
              <w:widowControl/>
              <w:spacing w:lineRule="auto" w:line="276" w:before="0" w:after="0"/>
              <w:jc w:val="left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1) i 2)</w:t>
            </w:r>
          </w:p>
        </w:tc>
        <w:tc>
          <w:tcPr>
            <w:tcW w:w="72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5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48" w:type="dxa"/>
            <w:tcBorders/>
          </w:tcPr>
          <w:p>
            <w:pPr>
              <w:pStyle w:val="ARTartustawynprozporzdzenia"/>
              <w:keepNext w:val="true"/>
              <w:spacing w:before="120" w:after="0"/>
              <w:rPr/>
            </w:pPr>
            <w:r>
              <w:rPr>
                <w:rStyle w:val="Ppogrubienie"/>
                <w:rFonts w:eastAsia="Calibri" w:cs="Calibri" w:ascii="Verdana" w:hAnsi="Verdana" w:cstheme="minorHAnsi"/>
                <w:kern w:val="0"/>
                <w:sz w:val="18"/>
                <w:szCs w:val="18"/>
                <w:lang w:val="pl-PL" w:eastAsia="en-US" w:bidi="ar-SA"/>
              </w:rPr>
              <w:t>Art. 63.</w:t>
            </w:r>
            <w:r>
              <w:rPr>
                <w:rFonts w:eastAsia="Calibri" w:cs="Calibri" w:ascii="Verdana" w:hAnsi="Verdana" w:cstheme="minorHAnsi"/>
                <w:kern w:val="0"/>
                <w:sz w:val="18"/>
                <w:szCs w:val="18"/>
                <w:lang w:val="pl-PL" w:eastAsia="en-US" w:bidi="ar-SA"/>
              </w:rPr>
              <w:t> O prawo do asystencji osobistej, o którym mowa w art. 4 ust. 1 mogą ubiegać się w:</w:t>
            </w:r>
          </w:p>
          <w:p>
            <w:pPr>
              <w:pStyle w:val="PKTpunkt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1)</w:t>
              <w:tab/>
              <w:t>2026 r. – osoby, które ukończyły 18 rok życia do ukończenia 65. roku życia, i które w skali potrzeby wsparcia, o której mowa w art. 4b ustawy z dnia 27 sierpnia 1997 r. o rehabilitacji zawodowej i społecznej i o zatrudnianiu osób niepełnosprawnych (Dz. U. z 2024 r. poz. 44) uzyskały co najmniej 90 pkt;</w:t>
            </w:r>
          </w:p>
          <w:p>
            <w:pPr>
              <w:pStyle w:val="PKTpunkt"/>
              <w:widowControl/>
              <w:spacing w:lineRule="auto" w:line="276" w:before="0" w:after="0"/>
              <w:jc w:val="left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2)</w:t>
              <w:tab/>
              <w:t>2027 r. – osoby, które ukończyły 18 rok życia do ukończenia 65. roku życia, i które w skali potrzeby wsparcia, o której mowa w art. 4b ustawy z dnia 27 sierpnia 1997 r. o rehabilitacji zawodowej i społecznej i o zatrudnianiu osób niepełnosprawnych (Dz. U. z 2024 r. poz. 44) uzyskały co najmniej 85 pkt.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 xml:space="preserve">Zarówno w art. 63 p. 1 jak i art. 63 p. 2 </w:t>
            </w: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r</w:t>
            </w: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 xml:space="preserve">ekomenduję obniżenie liczby </w:t>
            </w: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wymaganych</w:t>
            </w: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 xml:space="preserve"> punktów.</w:t>
            </w:r>
          </w:p>
        </w:tc>
        <w:tc>
          <w:tcPr>
            <w:tcW w:w="3391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 xml:space="preserve">Wysokie kryterium uzyskania </w:t>
            </w: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odpowiednio 90 lub 85</w:t>
            </w: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 xml:space="preserve"> punktów w skali oceny potrzeb wsparcia wykluczy wiele osób z niepełnosprawnościami. </w:t>
            </w:r>
          </w:p>
        </w:tc>
      </w:tr>
      <w:tr>
        <w:trPr/>
        <w:tc>
          <w:tcPr>
            <w:tcW w:w="587" w:type="dxa"/>
            <w:tcBorders>
              <w:left w:val="single" w:sz="12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Verdana" w:hAnsi="Verdana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 w:ascii="Verdana" w:hAnsi="Verdana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Ustawa o asystencji osobistej osób z niepełnosprawnościami (nr projektu: UD 168)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ARTartustawynprozporzdzenia"/>
              <w:keepNext w:val="true"/>
              <w:spacing w:before="120" w:after="0"/>
              <w:rPr/>
            </w:pPr>
            <w:r>
              <w:rPr>
                <w:rStyle w:val="Ppogrubienie"/>
                <w:rFonts w:eastAsia="Calibri" w:cs="Calibri" w:ascii="Verdana" w:hAnsi="Verdana" w:cstheme="minorHAnsi"/>
                <w:kern w:val="0"/>
                <w:sz w:val="18"/>
                <w:szCs w:val="18"/>
                <w:lang w:val="pl-PL" w:eastAsia="en-US" w:bidi="ar-SA"/>
              </w:rPr>
              <w:t>Art. 64.</w:t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1.</w:t>
            </w:r>
          </w:p>
        </w:tc>
        <w:tc>
          <w:tcPr>
            <w:tcW w:w="73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1) i 2)</w:t>
            </w:r>
          </w:p>
        </w:tc>
        <w:tc>
          <w:tcPr>
            <w:tcW w:w="72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5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48" w:type="dxa"/>
            <w:tcBorders/>
          </w:tcPr>
          <w:p>
            <w:pPr>
              <w:pStyle w:val="Normal"/>
              <w:keepNext w:val="true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Maksymalna miesięczna liczba godzin asystencji osobistej w przypadku osób, o których mowa w art. 4 ust. 1 pkt 1, w:</w:t>
            </w:r>
          </w:p>
          <w:p>
            <w:pPr>
              <w:pStyle w:val="PKTpunkt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1)</w:t>
              <w:tab/>
              <w:t>2026 r. wynosi 200 godzin.</w:t>
            </w:r>
          </w:p>
          <w:p>
            <w:pPr>
              <w:pStyle w:val="PKTpunkt"/>
              <w:widowControl/>
              <w:spacing w:lineRule="auto" w:line="276" w:before="0" w:after="0"/>
              <w:jc w:val="left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2)</w:t>
              <w:tab/>
              <w:t>2027 r. wynosi 220 godzin.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Rekomenduję zniesienie limitu lub w inny sposób uwzględnienie wsparcia dla osób potrzebujących stałej opieki.</w:t>
            </w:r>
          </w:p>
        </w:tc>
        <w:tc>
          <w:tcPr>
            <w:tcW w:w="3391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bookmarkStart w:id="1" w:name="docs-internal-guid-213fd5ac-7fff-c96f-ef"/>
            <w:bookmarkEnd w:id="1"/>
            <w:r>
              <w:rPr>
                <w:rFonts w:eastAsia="Calibri" w:cs="Calibri" w:cstheme="minorHAnsi" w:ascii="Times New Roman;serif" w:hAnsi="Times New Roman;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0"/>
                <w:szCs w:val="18"/>
                <w:u w:val="none"/>
                <w:effect w:val="none"/>
                <w:shd w:fill="auto" w:val="clear"/>
                <w:lang w:val="pl-PL" w:eastAsia="en-US" w:bidi="ar-SA"/>
              </w:rPr>
              <w:t>Limit przysługujących godzin pracy asystentów jest zbyt niski (do 240 godzin miesięcznie) dla osób, które wymagają stałej, nawet całodobowej opieki lub intensywnego, specjalistycznego wsparcia. Należy zadbać o osoby, dla których stała opieka asystentów to kwestia życia lub śmierci.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</w:tr>
      <w:tr>
        <w:trPr/>
        <w:tc>
          <w:tcPr>
            <w:tcW w:w="587" w:type="dxa"/>
            <w:tcBorders>
              <w:left w:val="single" w:sz="12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Verdana" w:hAnsi="Verdana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 w:ascii="Verdana" w:hAnsi="Verdana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Ustawa o asystencji osobistej osób z niepełnosprawnościami (nr projektu: UD 168)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2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5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4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Nowy punkt do ustawy – brak uwzględnienia gwarancji ciągłości w przypadku długiego rozpatrywania wniosków pomiędzy cyklami asystencji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J</w:t>
            </w: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 xml:space="preserve">eżeli osoba nabyła prawo do asystencji osobistej </w:t>
            </w: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i</w:t>
            </w: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 xml:space="preserve"> złożyła wniosek o </w:t>
            </w: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kolejny okres</w:t>
            </w: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, zachowuje ona prawo do dotychczas ustalonej miesięcznej liczby godzin asystencji osobistej do czasu prawomocnego rozpoznania tego wniosku.</w:t>
            </w:r>
          </w:p>
        </w:tc>
        <w:tc>
          <w:tcPr>
            <w:tcW w:w="3391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;serif" w:hAnsi="Times New Roman;serif" w:eastAsia="Calibri" w:cs="Calibri" w:cstheme="minorHAns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0"/>
                <w:szCs w:val="18"/>
                <w:u w:val="none"/>
                <w:effect w:val="none"/>
                <w:shd w:fill="auto" w:val="clear"/>
                <w:lang w:val="pl-PL" w:eastAsia="en-US" w:bidi="ar-SA"/>
              </w:rPr>
            </w:pPr>
            <w:bookmarkStart w:id="2" w:name="docs-internal-guid-fa08af2a-7fff-1fe5-12"/>
            <w:bookmarkEnd w:id="2"/>
            <w:r>
              <w:rPr>
                <w:rFonts w:eastAsia="Calibri" w:cs="Calibri" w:cstheme="minorHAnsi" w:ascii="Times New Roman;serif" w:hAnsi="Times New Roman;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0"/>
                <w:szCs w:val="18"/>
                <w:u w:val="none"/>
                <w:effect w:val="none"/>
                <w:shd w:fill="auto" w:val="clear"/>
                <w:lang w:val="pl-PL" w:eastAsia="en-US" w:bidi="ar-SA"/>
              </w:rPr>
              <w:t xml:space="preserve">Gwarancja ciągłości wsparcia (jeśli upłynie termin, na który przyznano asystencję, nie może pojawić się przerwa w przypadku długiego rozpatrywania kolejnego wniosku), </w:t>
            </w:r>
            <w:r>
              <w:rPr>
                <w:rFonts w:eastAsia="Calibri" w:cs="Calibri" w:cstheme="minorHAnsi" w:ascii="Times New Roman;serif" w:hAnsi="Times New Roman;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0"/>
                <w:szCs w:val="18"/>
                <w:u w:val="none"/>
                <w:effect w:val="none"/>
                <w:shd w:fill="auto" w:val="clear"/>
                <w:lang w:val="pl-PL" w:eastAsia="en-US" w:bidi="ar-SA"/>
              </w:rPr>
              <w:t>ponieważ dla prawdziwej niezależności wymagana jest ciągłość wsparcia</w:t>
            </w:r>
            <w:r>
              <w:rPr>
                <w:rFonts w:eastAsia="Calibri" w:cs="Calibri" w:cstheme="minorHAnsi" w:ascii="Times New Roman;serif" w:hAnsi="Times New Roman;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0"/>
                <w:szCs w:val="18"/>
                <w:u w:val="none"/>
                <w:effect w:val="none"/>
                <w:shd w:fill="auto" w:val="clear"/>
                <w:lang w:val="pl-PL" w:eastAsia="en-US" w:bidi="ar-SA"/>
              </w:rPr>
              <w:t>.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;serif" w:hAnsi="Times New Roman;serif" w:eastAsia="Calibri" w:cs="Calibri" w:cstheme="minorHAns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0"/>
                <w:szCs w:val="18"/>
                <w:u w:val="none"/>
                <w:effect w:val="none"/>
                <w:shd w:fill="auto" w:val="clear"/>
                <w:lang w:val="pl-PL" w:eastAsia="en-US" w:bidi="ar-SA"/>
              </w:rPr>
            </w:pPr>
            <w:r>
              <w:rPr>
                <w:rFonts w:eastAsia="Calibri" w:cs="Calibri" w:cstheme="minorHAnsi" w:ascii="Times New Roman;serif" w:hAnsi="Times New Roman;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0"/>
                <w:szCs w:val="18"/>
                <w:u w:val="none"/>
                <w:effect w:val="none"/>
                <w:shd w:fill="auto" w:val="clear"/>
                <w:lang w:val="pl-PL" w:eastAsia="en-US" w:bidi="ar-SA"/>
              </w:rPr>
            </w:r>
          </w:p>
        </w:tc>
      </w:tr>
      <w:tr>
        <w:trPr/>
        <w:tc>
          <w:tcPr>
            <w:tcW w:w="587" w:type="dxa"/>
            <w:tcBorders>
              <w:left w:val="single" w:sz="12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Verdana" w:hAnsi="Verdana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 w:ascii="Verdana" w:hAnsi="Verdana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Ustawa o asystencji osobistej osób z niepełnosprawnościami (nr projektu: UD 168)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2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5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4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ascii="Verdana" w:hAnsi="Verdana" w:cstheme="minorHAnsi"/>
                <w:kern w:val="0"/>
                <w:sz w:val="18"/>
                <w:szCs w:val="18"/>
                <w:lang w:val="pl-PL" w:eastAsia="en-US" w:bidi="ar-SA"/>
              </w:rPr>
              <w:t xml:space="preserve">Nowy punkt do ustawy - </w:t>
            </w:r>
            <w:bookmarkStart w:id="3" w:name="docs-internal-guid-4a669285-7fff-96ab-1b"/>
            <w:bookmarkEnd w:id="3"/>
            <w:r>
              <w:rPr>
                <w:rFonts w:ascii="Times New Roman;serif" w:hAnsi="Times New Roman;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 xml:space="preserve">Brak uwzględnienia asystencji "interwencyjnej" </w:t>
            </w:r>
          </w:p>
          <w:p>
            <w:pPr>
              <w:pStyle w:val="TextBody"/>
              <w:spacing w:before="0" w:after="140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/>
              <w:br/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Niezbędny nowy punkt szybkiej ścieżki asystencji interwencyjnej.</w:t>
            </w:r>
          </w:p>
        </w:tc>
        <w:tc>
          <w:tcPr>
            <w:tcW w:w="3391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 xml:space="preserve">Wsparcie asystenckie jest silnie przypisane do powiatu, brak rozwiązania w przypadku, gdy osoba będzie potrzebowała wsparcia </w:t>
            </w: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 xml:space="preserve">w przypadkach nagłej potrzeby np. w trakcie pobytu osoby z niepełnosprawnością poza miejscowością zamieszkania </w:t>
            </w: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 xml:space="preserve">czy powiatem. Dodatkowo brak procedury interwencyjnej w przypadkach, gdy jest potrzebne nagłe i ponadstandardowe wsparcie, np. w przypadku </w:t>
            </w: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  <w:t>hospitalizacji opiekuna lub opiekunki osoby z niepełnosprawnością.</w:t>
            </w:r>
          </w:p>
        </w:tc>
      </w:tr>
      <w:tr>
        <w:trPr/>
        <w:tc>
          <w:tcPr>
            <w:tcW w:w="587" w:type="dxa"/>
            <w:tcBorders>
              <w:left w:val="single" w:sz="12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Verdana" w:hAnsi="Verdana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 w:ascii="Verdana" w:hAnsi="Verdana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2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5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4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91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</w:tr>
      <w:tr>
        <w:trPr/>
        <w:tc>
          <w:tcPr>
            <w:tcW w:w="587" w:type="dxa"/>
            <w:tcBorders>
              <w:left w:val="single" w:sz="12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Verdana" w:hAnsi="Verdana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 w:ascii="Verdana" w:hAnsi="Verdana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2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5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4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91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</w:tr>
      <w:tr>
        <w:trPr/>
        <w:tc>
          <w:tcPr>
            <w:tcW w:w="587" w:type="dxa"/>
            <w:tcBorders>
              <w:left w:val="single" w:sz="12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Verdana" w:hAnsi="Verdana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 w:ascii="Verdana" w:hAnsi="Verdana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2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5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4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91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</w:tr>
      <w:tr>
        <w:trPr/>
        <w:tc>
          <w:tcPr>
            <w:tcW w:w="587" w:type="dxa"/>
            <w:tcBorders>
              <w:left w:val="single" w:sz="12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Verdana" w:hAnsi="Verdana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 w:ascii="Verdana" w:hAnsi="Verdana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2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5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4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91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</w:tr>
      <w:tr>
        <w:trPr/>
        <w:tc>
          <w:tcPr>
            <w:tcW w:w="587" w:type="dxa"/>
            <w:tcBorders>
              <w:left w:val="single" w:sz="12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Verdana" w:hAnsi="Verdana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 w:ascii="Verdana" w:hAnsi="Verdana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2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5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4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91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</w:tr>
      <w:tr>
        <w:trPr/>
        <w:tc>
          <w:tcPr>
            <w:tcW w:w="587" w:type="dxa"/>
            <w:tcBorders>
              <w:left w:val="single" w:sz="12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Verdana" w:hAnsi="Verdana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 w:ascii="Verdana" w:hAnsi="Verdana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2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5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4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91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</w:tr>
      <w:tr>
        <w:trPr/>
        <w:tc>
          <w:tcPr>
            <w:tcW w:w="587" w:type="dxa"/>
            <w:tcBorders>
              <w:left w:val="single" w:sz="12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Verdana" w:hAnsi="Verdana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 w:ascii="Verdana" w:hAnsi="Verdana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2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5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4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91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</w:tr>
      <w:tr>
        <w:trPr/>
        <w:tc>
          <w:tcPr>
            <w:tcW w:w="587" w:type="dxa"/>
            <w:tcBorders>
              <w:left w:val="single" w:sz="12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Verdana" w:hAnsi="Verdana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 w:ascii="Verdana" w:hAnsi="Verdana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2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5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4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91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</w:tr>
      <w:tr>
        <w:trPr/>
        <w:tc>
          <w:tcPr>
            <w:tcW w:w="587" w:type="dxa"/>
            <w:tcBorders>
              <w:left w:val="single" w:sz="12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Verdana" w:hAnsi="Verdana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 w:ascii="Verdana" w:hAnsi="Verdana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2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5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4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91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</w:tr>
      <w:tr>
        <w:trPr/>
        <w:tc>
          <w:tcPr>
            <w:tcW w:w="587" w:type="dxa"/>
            <w:tcBorders>
              <w:left w:val="single" w:sz="12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Verdana" w:hAnsi="Verdana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 w:ascii="Verdana" w:hAnsi="Verdana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2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5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4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91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</w:tr>
      <w:tr>
        <w:trPr/>
        <w:tc>
          <w:tcPr>
            <w:tcW w:w="587" w:type="dxa"/>
            <w:tcBorders>
              <w:left w:val="single" w:sz="12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Verdana" w:hAnsi="Verdana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 w:ascii="Verdana" w:hAnsi="Verdana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2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5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4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91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</w:tr>
      <w:tr>
        <w:trPr/>
        <w:tc>
          <w:tcPr>
            <w:tcW w:w="587" w:type="dxa"/>
            <w:tcBorders>
              <w:left w:val="single" w:sz="12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Verdana" w:hAnsi="Verdana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 w:ascii="Verdana" w:hAnsi="Verdana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2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5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4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91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</w:tr>
      <w:tr>
        <w:trPr/>
        <w:tc>
          <w:tcPr>
            <w:tcW w:w="587" w:type="dxa"/>
            <w:tcBorders>
              <w:left w:val="single" w:sz="12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Verdana" w:hAnsi="Verdana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 w:ascii="Verdana" w:hAnsi="Verdana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2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5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4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91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</w:tr>
      <w:tr>
        <w:trPr/>
        <w:tc>
          <w:tcPr>
            <w:tcW w:w="587" w:type="dxa"/>
            <w:tcBorders>
              <w:left w:val="single" w:sz="12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Verdana" w:hAnsi="Verdana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 w:ascii="Verdana" w:hAnsi="Verdana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2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5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4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91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</w:tr>
      <w:tr>
        <w:trPr/>
        <w:tc>
          <w:tcPr>
            <w:tcW w:w="587" w:type="dxa"/>
            <w:tcBorders>
              <w:left w:val="single" w:sz="12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Verdana" w:hAnsi="Verdana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 w:ascii="Verdana" w:hAnsi="Verdana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2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5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4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91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</w:tr>
      <w:tr>
        <w:trPr/>
        <w:tc>
          <w:tcPr>
            <w:tcW w:w="587" w:type="dxa"/>
            <w:tcBorders>
              <w:left w:val="single" w:sz="12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Verdana" w:hAnsi="Verdana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 w:ascii="Verdana" w:hAnsi="Verdana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2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5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4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91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</w:tr>
      <w:tr>
        <w:trPr/>
        <w:tc>
          <w:tcPr>
            <w:tcW w:w="587" w:type="dxa"/>
            <w:tcBorders>
              <w:left w:val="single" w:sz="12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Verdana" w:hAnsi="Verdana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 w:ascii="Verdana" w:hAnsi="Verdana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2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5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4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91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</w:tr>
      <w:tr>
        <w:trPr/>
        <w:tc>
          <w:tcPr>
            <w:tcW w:w="587" w:type="dxa"/>
            <w:tcBorders>
              <w:left w:val="single" w:sz="12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Verdana" w:hAnsi="Verdana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 w:ascii="Verdana" w:hAnsi="Verdana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2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5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4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91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</w:tr>
      <w:tr>
        <w:trPr/>
        <w:tc>
          <w:tcPr>
            <w:tcW w:w="587" w:type="dxa"/>
            <w:tcBorders>
              <w:left w:val="single" w:sz="12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Verdana" w:hAnsi="Verdana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 w:ascii="Verdana" w:hAnsi="Verdana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2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5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4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91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</w:tr>
      <w:tr>
        <w:trPr/>
        <w:tc>
          <w:tcPr>
            <w:tcW w:w="587" w:type="dxa"/>
            <w:tcBorders>
              <w:left w:val="single" w:sz="12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Verdana" w:hAnsi="Verdana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 w:ascii="Verdana" w:hAnsi="Verdana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2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5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4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91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</w:tr>
      <w:tr>
        <w:trPr/>
        <w:tc>
          <w:tcPr>
            <w:tcW w:w="587" w:type="dxa"/>
            <w:tcBorders>
              <w:left w:val="single" w:sz="12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Verdana" w:hAnsi="Verdana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 w:ascii="Verdana" w:hAnsi="Verdana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2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5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4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91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</w:tr>
      <w:tr>
        <w:trPr/>
        <w:tc>
          <w:tcPr>
            <w:tcW w:w="587" w:type="dxa"/>
            <w:tcBorders>
              <w:left w:val="single" w:sz="12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Verdana" w:hAnsi="Verdana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 w:ascii="Verdana" w:hAnsi="Verdana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2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5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4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91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</w:tr>
      <w:tr>
        <w:trPr/>
        <w:tc>
          <w:tcPr>
            <w:tcW w:w="587" w:type="dxa"/>
            <w:tcBorders>
              <w:left w:val="single" w:sz="12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Verdana" w:hAnsi="Verdana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 w:ascii="Verdana" w:hAnsi="Verdana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2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5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4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91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</w:tr>
      <w:tr>
        <w:trPr/>
        <w:tc>
          <w:tcPr>
            <w:tcW w:w="587" w:type="dxa"/>
            <w:tcBorders>
              <w:left w:val="single" w:sz="12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left"/>
              <w:rPr>
                <w:rFonts w:ascii="Verdana" w:hAnsi="Verdana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 w:ascii="Verdana" w:hAnsi="Verdana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31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72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5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4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3391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Verdana" w:hAnsi="Verdana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 w:ascii="Verdana" w:hAnsi="Verdana"/>
                <w:kern w:val="0"/>
                <w:sz w:val="18"/>
                <w:szCs w:val="18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160"/>
        <w:rPr>
          <w:rFonts w:ascii="Verdana" w:hAnsi="Verdana"/>
        </w:rPr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340" w:right="340" w:gutter="0" w:header="340" w:top="567" w:footer="340" w:bottom="39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Times New Roman">
    <w:altName w:val="serif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59780369"/>
    </w:sdtPr>
    <w:sdtContent>
      <w:p>
        <w:pPr>
          <w:pStyle w:val="Footer"/>
          <w:jc w:val="center"/>
          <w:rPr>
            <w:rFonts w:ascii="Verdana" w:hAnsi="Verdana"/>
            <w:sz w:val="24"/>
            <w:szCs w:val="24"/>
          </w:rPr>
        </w:pPr>
        <w:r>
          <w:rPr>
            <w:rFonts w:ascii="Verdana" w:hAnsi="Verdana"/>
            <w:sz w:val="24"/>
            <w:szCs w:val="24"/>
          </w:rPr>
          <w:t xml:space="preserve">Strona </w:t>
        </w:r>
        <w:r>
          <w:rPr>
            <w:rFonts w:ascii="Verdana" w:hAnsi="Verdana"/>
            <w:sz w:val="24"/>
            <w:szCs w:val="24"/>
          </w:rPr>
          <w:fldChar w:fldCharType="begin"/>
        </w:r>
        <w:r>
          <w:rPr>
            <w:sz w:val="24"/>
            <w:szCs w:val="24"/>
            <w:rFonts w:ascii="Verdana" w:hAnsi="Verdana"/>
          </w:rPr>
          <w:instrText xml:space="preserve"> PAGE </w:instrText>
        </w:r>
        <w:r>
          <w:rPr>
            <w:sz w:val="24"/>
            <w:szCs w:val="24"/>
            <w:rFonts w:ascii="Verdana" w:hAnsi="Verdana"/>
          </w:rPr>
          <w:fldChar w:fldCharType="separate"/>
        </w:r>
        <w:r>
          <w:rPr>
            <w:sz w:val="24"/>
            <w:szCs w:val="24"/>
            <w:rFonts w:ascii="Verdana" w:hAnsi="Verdana"/>
          </w:rPr>
          <w:t>5</w:t>
        </w:r>
        <w:r>
          <w:rPr>
            <w:sz w:val="24"/>
            <w:szCs w:val="24"/>
            <w:rFonts w:ascii="Verdana" w:hAnsi="Verdana"/>
          </w:rPr>
          <w:fldChar w:fldCharType="end"/>
        </w:r>
        <w:r>
          <w:rPr>
            <w:rFonts w:ascii="Verdana" w:hAnsi="Verdana"/>
            <w:sz w:val="24"/>
            <w:szCs w:val="24"/>
          </w:rPr>
          <w:t xml:space="preserve"> z </w:t>
        </w:r>
        <w:r>
          <w:rPr>
            <w:rFonts w:ascii="Verdana" w:hAnsi="Verdana"/>
            <w:sz w:val="24"/>
            <w:szCs w:val="24"/>
          </w:rPr>
          <w:fldChar w:fldCharType="begin"/>
        </w:r>
        <w:r>
          <w:rPr>
            <w:sz w:val="24"/>
            <w:szCs w:val="24"/>
            <w:rFonts w:ascii="Verdana" w:hAnsi="Verdana"/>
          </w:rPr>
          <w:instrText xml:space="preserve"> NUMPAGES </w:instrText>
        </w:r>
        <w:r>
          <w:rPr>
            <w:sz w:val="24"/>
            <w:szCs w:val="24"/>
            <w:rFonts w:ascii="Verdana" w:hAnsi="Verdana"/>
          </w:rPr>
          <w:fldChar w:fldCharType="separate"/>
        </w:r>
        <w:r>
          <w:rPr>
            <w:sz w:val="24"/>
            <w:szCs w:val="24"/>
            <w:rFonts w:ascii="Verdana" w:hAnsi="Verdana"/>
          </w:rPr>
          <w:t>5</w:t>
        </w:r>
        <w:r>
          <w:rPr>
            <w:sz w:val="24"/>
            <w:szCs w:val="24"/>
            <w:rFonts w:ascii="Verdana" w:hAnsi="Verdana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itle"/>
      <w:spacing w:lineRule="auto" w:line="312" w:before="120" w:after="0"/>
      <w:jc w:val="left"/>
      <w:rPr>
        <w:rFonts w:ascii="Verdana" w:hAnsi="Verdana"/>
        <w:b w:val="false"/>
        <w:bCs w:val="false"/>
        <w:sz w:val="18"/>
        <w:szCs w:val="18"/>
      </w:rPr>
    </w:pPr>
    <w:r>
      <w:rPr>
        <w:rFonts w:ascii="Verdana" w:hAnsi="Verdana"/>
        <w:b w:val="false"/>
        <w:bCs w:val="false"/>
        <w:sz w:val="18"/>
        <w:szCs w:val="18"/>
      </w:rPr>
      <w:t>Formularz zgłaszania uwag do projektu Ustawy o asystencji osobistej osób z niepełnosprawnościami (UD168)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2">
    <w:name w:val="Heading 2"/>
    <w:basedOn w:val="Normal"/>
    <w:next w:val="Normal"/>
    <w:link w:val="Nagwek2Znak"/>
    <w:qFormat/>
    <w:rsid w:val="00cd4fae"/>
    <w:pPr>
      <w:keepNext w:val="true"/>
      <w:spacing w:lineRule="auto" w:line="240" w:before="240" w:after="240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4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Header"/>
    <w:qFormat/>
    <w:rsid w:val="00cd4fae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cd4fae"/>
    <w:rPr/>
  </w:style>
  <w:style w:type="character" w:styleId="TytuZnak" w:customStyle="1">
    <w:name w:val="Tytuł Znak"/>
    <w:basedOn w:val="DefaultParagraphFont"/>
    <w:link w:val="Title"/>
    <w:qFormat/>
    <w:rsid w:val="00cd4fae"/>
    <w:rPr>
      <w:rFonts w:ascii="Arial" w:hAnsi="Arial" w:eastAsia="Times New Roman" w:cs="Times New Roman"/>
      <w:b/>
      <w:bCs/>
      <w:sz w:val="24"/>
      <w:szCs w:val="24"/>
      <w:lang w:eastAsia="pl-PL"/>
    </w:rPr>
  </w:style>
  <w:style w:type="character" w:styleId="Nagwek2Znak" w:customStyle="1">
    <w:name w:val="Nagłówek 2 Znak"/>
    <w:basedOn w:val="DefaultParagraphFont"/>
    <w:link w:val="Heading2"/>
    <w:qFormat/>
    <w:rsid w:val="00cd4fae"/>
    <w:rPr>
      <w:rFonts w:ascii="Times New Roman" w:hAnsi="Times New Roman" w:eastAsia="Times New Roman" w:cs="Times New Roman"/>
      <w:b/>
      <w:bCs/>
      <w:sz w:val="20"/>
      <w:szCs w:val="24"/>
      <w:lang w:eastAsia="pl-PL"/>
    </w:rPr>
  </w:style>
  <w:style w:type="character" w:styleId="TekstprzypisudolnegoZnak" w:customStyle="1">
    <w:name w:val="Tekst przypisu dolnego Znak"/>
    <w:basedOn w:val="DefaultParagraphFont"/>
    <w:link w:val="Footnote"/>
    <w:uiPriority w:val="99"/>
    <w:semiHidden/>
    <w:qFormat/>
    <w:rsid w:val="00cd4fae"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cd4fae"/>
    <w:rPr>
      <w:vertAlign w:val="superscript"/>
    </w:rPr>
  </w:style>
  <w:style w:type="character" w:styleId="FootnoteAnchor">
    <w:name w:val="Footnote Reference"/>
    <w:rPr>
      <w:vertAlign w:val="superscript"/>
    </w:rPr>
  </w:style>
  <w:style w:type="character" w:styleId="Ppogrubienie">
    <w:name w:val="_P_ – pogrubienie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NagwekZnak"/>
    <w:unhideWhenUsed/>
    <w:rsid w:val="00cd4fa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cd4fa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itle">
    <w:name w:val="Title"/>
    <w:basedOn w:val="Normal"/>
    <w:link w:val="TytuZnak"/>
    <w:qFormat/>
    <w:rsid w:val="00cd4fae"/>
    <w:pPr>
      <w:spacing w:lineRule="auto" w:line="240" w:before="0" w:after="0"/>
      <w:jc w:val="center"/>
    </w:pPr>
    <w:rPr>
      <w:rFonts w:ascii="Arial" w:hAnsi="Arial" w:eastAsia="Times New Roman" w:cs="Times New Roman"/>
      <w:b/>
      <w:bCs/>
      <w:sz w:val="24"/>
      <w:szCs w:val="24"/>
      <w:lang w:eastAsia="pl-PL"/>
    </w:rPr>
  </w:style>
  <w:style w:type="paragraph" w:styleId="Footnote">
    <w:name w:val="Footnote Text"/>
    <w:basedOn w:val="Normal"/>
    <w:link w:val="TekstprzypisudolnegoZnak"/>
    <w:uiPriority w:val="99"/>
    <w:semiHidden/>
    <w:unhideWhenUsed/>
    <w:rsid w:val="00cd4fae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d4fae"/>
    <w:pPr>
      <w:spacing w:before="0" w:after="160"/>
      <w:ind w:left="720" w:hanging="0"/>
      <w:contextualSpacing/>
    </w:pPr>
    <w:rPr/>
  </w:style>
  <w:style w:type="paragraph" w:styleId="ARTartustawynprozporzdzenia">
    <w:name w:val="ART(§) – art. ustawy (§ np. rozporządzenia)"/>
    <w:qFormat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cs="Arial" w:ascii="Calibri" w:hAnsi="Calibri" w:eastAsia="Calibri" w:asciiTheme="minorHAnsi" w:eastAsiaTheme="minorHAnsi" w:hAnsiTheme="minorHAnsi"/>
      <w:color w:val="auto"/>
      <w:kern w:val="0"/>
      <w:sz w:val="24"/>
      <w:szCs w:val="22"/>
      <w:lang w:val="pl-PL" w:eastAsia="en-US" w:bidi="ar-SA"/>
    </w:rPr>
  </w:style>
  <w:style w:type="paragraph" w:styleId="PKTpunkt">
    <w:name w:val="PKT – punkt"/>
    <w:qFormat/>
    <w:pPr>
      <w:widowControl/>
      <w:bidi w:val="0"/>
      <w:spacing w:lineRule="auto" w:line="360" w:before="0" w:after="0"/>
      <w:ind w:left="510" w:hanging="510"/>
      <w:jc w:val="both"/>
    </w:pPr>
    <w:rPr>
      <w:rFonts w:cs="Arial" w:ascii="Calibri" w:hAnsi="Calibri" w:eastAsia="Calibri" w:asciiTheme="minorHAnsi" w:eastAsiaTheme="minorHAnsi" w:hAnsiTheme="minorHAnsi"/>
      <w:bCs/>
      <w:color w:val="auto"/>
      <w:kern w:val="0"/>
      <w:sz w:val="24"/>
      <w:szCs w:val="22"/>
      <w:lang w:val="pl-PL" w:eastAsia="en-US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USTustnpkodeksu">
    <w:name w:val="UST(§) – ust. (§ np. kodeksu)"/>
    <w:basedOn w:val="ARTartustawynprozporzdzenia"/>
    <w:qFormat/>
    <w:pPr>
      <w:spacing w:before="0" w:after="0"/>
    </w:pPr>
    <w:rPr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cd4f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F932129647446ADBB28FB2FD91A30" ma:contentTypeVersion="4" ma:contentTypeDescription="Utwórz nowy dokument." ma:contentTypeScope="" ma:versionID="3dc02281fcf95e9143ec73c5002b2fe8">
  <xsd:schema xmlns:xsd="http://www.w3.org/2001/XMLSchema" xmlns:xs="http://www.w3.org/2001/XMLSchema" xmlns:p="http://schemas.microsoft.com/office/2006/metadata/properties" xmlns:ns2="f2efb1f7-ca92-4dcb-9df9-0708d1bbd20b" targetNamespace="http://schemas.microsoft.com/office/2006/metadata/properties" ma:root="true" ma:fieldsID="a7b5625157045c573065610f9f251028" ns2:_="">
    <xsd:import namespace="f2efb1f7-ca92-4dcb-9df9-0708d1bbd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fb1f7-ca92-4dcb-9df9-0708d1bbd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9AAA92-D1E5-4A6F-BDC8-3E0A9DB614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1CE933-1036-4F44-ACFF-0EC66F25CD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0FF82A-1554-4599-B003-538AFD8755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36D1D5-4961-4EC5-965D-F8D8D5CE5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fb1f7-ca92-4dcb-9df9-0708d1bbd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LibreOffice/7.5.0.3$MacOSX_X86_64 LibreOffice_project/c21113d003cd3efa8c53188764377a8272d9d6de</Application>
  <AppVersion>15.0000</AppVersion>
  <Pages>5</Pages>
  <Words>794</Words>
  <Characters>4523</Characters>
  <CharactersWithSpaces>5232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2024-12-09T12:29:00Z</dcterms:created>
  <dc:creator>Zawisny Adam</dc:creator>
  <dc:description/>
  <dc:language>pl-PL</dc:language>
  <cp:lastModifiedBy/>
  <dcterms:modified xsi:type="dcterms:W3CDTF">2025-01-12T18:15:49Z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0x01010015AF932129647446ADBB28FB2FD91A30</vt:lpwstr>
  </property>
</Properties>
</file>